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F19" w:rsidRPr="005906FF" w:rsidRDefault="00BC0F19" w:rsidP="00E7553B">
      <w:pPr>
        <w:pStyle w:val="a8"/>
        <w:tabs>
          <w:tab w:val="left" w:pos="7795"/>
        </w:tabs>
        <w:jc w:val="both"/>
        <w:rPr>
          <w:sz w:val="28"/>
          <w:szCs w:val="28"/>
        </w:rPr>
      </w:pPr>
      <w:r w:rsidRPr="005906FF">
        <w:rPr>
          <w:sz w:val="28"/>
          <w:szCs w:val="28"/>
        </w:rPr>
        <w:t>3GPP TSG RAN WG</w:t>
      </w:r>
      <w:r w:rsidR="00166F62">
        <w:rPr>
          <w:sz w:val="28"/>
          <w:szCs w:val="28"/>
        </w:rPr>
        <w:t>2</w:t>
      </w:r>
      <w:r w:rsidRPr="005906FF">
        <w:rPr>
          <w:sz w:val="28"/>
          <w:szCs w:val="28"/>
        </w:rPr>
        <w:t xml:space="preserve"> Meeting #10</w:t>
      </w:r>
      <w:r w:rsidR="0041767B">
        <w:rPr>
          <w:sz w:val="28"/>
          <w:szCs w:val="28"/>
        </w:rPr>
        <w:t>8</w:t>
      </w:r>
      <w:r>
        <w:rPr>
          <w:sz w:val="28"/>
          <w:szCs w:val="28"/>
        </w:rPr>
        <w:tab/>
      </w:r>
      <w:bookmarkStart w:id="0" w:name="_GoBack"/>
      <w:r w:rsidR="00133BCB" w:rsidRPr="00133BCB">
        <w:rPr>
          <w:sz w:val="28"/>
          <w:szCs w:val="28"/>
        </w:rPr>
        <w:t>R2-1916090</w:t>
      </w:r>
      <w:bookmarkEnd w:id="0"/>
    </w:p>
    <w:p w:rsidR="00BC0F19" w:rsidRDefault="0041767B" w:rsidP="00BC0F19">
      <w:pPr>
        <w:pStyle w:val="a8"/>
        <w:tabs>
          <w:tab w:val="left" w:pos="7939"/>
        </w:tabs>
        <w:jc w:val="both"/>
        <w:rPr>
          <w:sz w:val="28"/>
          <w:szCs w:val="28"/>
        </w:rPr>
      </w:pPr>
      <w:r>
        <w:rPr>
          <w:sz w:val="28"/>
          <w:szCs w:val="28"/>
        </w:rPr>
        <w:t>Reno</w:t>
      </w:r>
      <w:r w:rsidR="00166F62" w:rsidRPr="00C367B9">
        <w:rPr>
          <w:sz w:val="28"/>
          <w:szCs w:val="28"/>
        </w:rPr>
        <w:t xml:space="preserve">, </w:t>
      </w:r>
      <w:r>
        <w:rPr>
          <w:sz w:val="28"/>
          <w:szCs w:val="28"/>
        </w:rPr>
        <w:t>USA</w:t>
      </w:r>
      <w:r w:rsidR="0086681C">
        <w:rPr>
          <w:sz w:val="28"/>
          <w:szCs w:val="28"/>
        </w:rPr>
        <w:t>,</w:t>
      </w:r>
      <w:r w:rsidR="00166F62" w:rsidRPr="00C367B9">
        <w:rPr>
          <w:sz w:val="28"/>
          <w:szCs w:val="28"/>
        </w:rPr>
        <w:t xml:space="preserve"> </w:t>
      </w:r>
      <w:r w:rsidR="00E7553B">
        <w:rPr>
          <w:sz w:val="28"/>
          <w:szCs w:val="28"/>
        </w:rPr>
        <w:t>1</w:t>
      </w:r>
      <w:r>
        <w:rPr>
          <w:sz w:val="28"/>
          <w:szCs w:val="28"/>
        </w:rPr>
        <w:t>8</w:t>
      </w:r>
      <w:r w:rsidR="00166F62" w:rsidRPr="00C367B9">
        <w:rPr>
          <w:sz w:val="28"/>
          <w:szCs w:val="28"/>
        </w:rPr>
        <w:t xml:space="preserve">th </w:t>
      </w:r>
      <w:r>
        <w:rPr>
          <w:sz w:val="28"/>
          <w:szCs w:val="28"/>
        </w:rPr>
        <w:t>November</w:t>
      </w:r>
      <w:r w:rsidR="00166F62" w:rsidRPr="00C367B9">
        <w:rPr>
          <w:sz w:val="28"/>
          <w:szCs w:val="28"/>
        </w:rPr>
        <w:t xml:space="preserve"> – </w:t>
      </w:r>
      <w:r>
        <w:rPr>
          <w:sz w:val="28"/>
          <w:szCs w:val="28"/>
        </w:rPr>
        <w:t>22</w:t>
      </w:r>
      <w:r w:rsidR="00166F62">
        <w:rPr>
          <w:sz w:val="28"/>
          <w:szCs w:val="28"/>
        </w:rPr>
        <w:t>th</w:t>
      </w:r>
      <w:r w:rsidR="00166F62" w:rsidRPr="00C367B9">
        <w:rPr>
          <w:sz w:val="28"/>
          <w:szCs w:val="28"/>
        </w:rPr>
        <w:t xml:space="preserve"> </w:t>
      </w:r>
      <w:r>
        <w:rPr>
          <w:sz w:val="28"/>
          <w:szCs w:val="28"/>
        </w:rPr>
        <w:t>November</w:t>
      </w:r>
      <w:r w:rsidR="00166F62" w:rsidRPr="00C367B9">
        <w:rPr>
          <w:sz w:val="28"/>
          <w:szCs w:val="28"/>
        </w:rPr>
        <w:t xml:space="preserve"> 2019</w:t>
      </w:r>
    </w:p>
    <w:p w:rsidR="00BC0F19" w:rsidRPr="0041767B" w:rsidRDefault="00BC0F19" w:rsidP="00BC0F19">
      <w:pPr>
        <w:pStyle w:val="3GPPHeader"/>
        <w:spacing w:after="120" w:line="240" w:lineRule="exact"/>
        <w:rPr>
          <w:rFonts w:ascii="Times New Roman" w:eastAsia="MS Mincho" w:hAnsi="Times New Roman"/>
          <w:bCs/>
          <w:szCs w:val="24"/>
          <w:lang w:val="en-US"/>
        </w:rPr>
      </w:pPr>
    </w:p>
    <w:p w:rsidR="005906FF" w:rsidRDefault="005906FF" w:rsidP="00212AD0">
      <w:pPr>
        <w:spacing w:beforeLines="50" w:before="120" w:after="0"/>
        <w:rPr>
          <w:rFonts w:eastAsia="SimSun"/>
          <w:b/>
          <w:sz w:val="24"/>
          <w:lang w:val="en-US"/>
        </w:rPr>
      </w:pPr>
      <w:r>
        <w:rPr>
          <w:b/>
          <w:sz w:val="24"/>
          <w:lang w:val="en-US"/>
        </w:rPr>
        <w:t xml:space="preserve">Agenda </w:t>
      </w:r>
      <w:r>
        <w:rPr>
          <w:rFonts w:hint="eastAsia"/>
          <w:b/>
          <w:sz w:val="24"/>
          <w:lang w:val="en-US"/>
        </w:rPr>
        <w:t>I</w:t>
      </w:r>
      <w:r>
        <w:rPr>
          <w:b/>
          <w:sz w:val="24"/>
          <w:lang w:val="en-US"/>
        </w:rPr>
        <w:t>tem:</w:t>
      </w:r>
      <w:r>
        <w:rPr>
          <w:b/>
          <w:sz w:val="24"/>
          <w:lang w:val="en-US"/>
        </w:rPr>
        <w:tab/>
      </w:r>
      <w:bookmarkStart w:id="1" w:name="Source"/>
      <w:bookmarkEnd w:id="1"/>
      <w:r>
        <w:rPr>
          <w:b/>
          <w:sz w:val="24"/>
          <w:lang w:val="en-US"/>
        </w:rPr>
        <w:t xml:space="preserve">  </w:t>
      </w:r>
      <w:r w:rsidR="0000084C">
        <w:rPr>
          <w:b/>
          <w:sz w:val="24"/>
          <w:lang w:val="en-US"/>
        </w:rPr>
        <w:t>6</w:t>
      </w:r>
      <w:r w:rsidR="00E851E6">
        <w:rPr>
          <w:b/>
          <w:sz w:val="24"/>
          <w:lang w:val="en-US"/>
        </w:rPr>
        <w:t>.</w:t>
      </w:r>
      <w:r w:rsidR="00E851E6">
        <w:rPr>
          <w:rFonts w:eastAsia="SimSun"/>
          <w:b/>
          <w:sz w:val="24"/>
          <w:lang w:val="en-US"/>
        </w:rPr>
        <w:t>4</w:t>
      </w:r>
      <w:r w:rsidR="00E851E6">
        <w:rPr>
          <w:rFonts w:eastAsia="SimSun" w:hint="eastAsia"/>
          <w:b/>
          <w:sz w:val="24"/>
          <w:lang w:val="en-US"/>
        </w:rPr>
        <w:t>.</w:t>
      </w:r>
      <w:r w:rsidR="0086681C">
        <w:rPr>
          <w:rFonts w:eastAsia="SimSun"/>
          <w:b/>
          <w:sz w:val="24"/>
          <w:lang w:val="en-US"/>
        </w:rPr>
        <w:t>6</w:t>
      </w:r>
      <w:r w:rsidR="00E851E6">
        <w:rPr>
          <w:rFonts w:eastAsia="SimSun"/>
          <w:b/>
          <w:sz w:val="24"/>
          <w:lang w:val="en-US"/>
        </w:rPr>
        <w:t xml:space="preserve"> L2/3 protocols for QoS support</w:t>
      </w:r>
    </w:p>
    <w:p w:rsidR="005906FF" w:rsidRDefault="005906FF" w:rsidP="00212AD0">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rsidR="00003AC7" w:rsidRPr="00D44D4C" w:rsidRDefault="005906FF" w:rsidP="00212AD0">
      <w:pPr>
        <w:spacing w:beforeLines="50" w:before="120" w:after="0"/>
        <w:ind w:leftChars="1" w:left="1979" w:hangingChars="823" w:hanging="1977"/>
        <w:rPr>
          <w:b/>
          <w:sz w:val="24"/>
          <w:lang w:val="en-US"/>
        </w:rPr>
      </w:pPr>
      <w:r>
        <w:rPr>
          <w:b/>
          <w:sz w:val="24"/>
          <w:lang w:val="en-US"/>
        </w:rPr>
        <w:t xml:space="preserve">Title: </w:t>
      </w:r>
      <w:r>
        <w:rPr>
          <w:b/>
          <w:sz w:val="24"/>
          <w:lang w:val="en-US"/>
        </w:rPr>
        <w:tab/>
      </w:r>
      <w:r w:rsidR="001D48DC" w:rsidRPr="001D48DC">
        <w:rPr>
          <w:b/>
          <w:sz w:val="24"/>
          <w:lang w:val="en-US"/>
        </w:rPr>
        <w:t>Remaining issue on Groupcast and Broadcast QoS Report</w:t>
      </w:r>
    </w:p>
    <w:p w:rsidR="005906FF" w:rsidRDefault="005906FF" w:rsidP="00212AD0">
      <w:pPr>
        <w:tabs>
          <w:tab w:val="left" w:pos="1985"/>
        </w:tabs>
        <w:spacing w:beforeLines="50" w:before="120" w:after="0"/>
        <w:ind w:left="2042" w:hangingChars="850" w:hanging="2042"/>
        <w:rPr>
          <w:rFonts w:eastAsia="SimSun"/>
          <w:b/>
          <w:sz w:val="24"/>
          <w:lang w:val="en-US"/>
        </w:rPr>
      </w:pPr>
      <w:r>
        <w:rPr>
          <w:b/>
          <w:sz w:val="24"/>
          <w:lang w:val="en-US"/>
        </w:rPr>
        <w:t>Document for:</w:t>
      </w:r>
      <w:r>
        <w:rPr>
          <w:b/>
          <w:sz w:val="24"/>
          <w:lang w:val="en-US"/>
        </w:rPr>
        <w:tab/>
      </w:r>
      <w:bookmarkStart w:id="2" w:name="DocumentFor"/>
      <w:bookmarkEnd w:id="2"/>
      <w:r>
        <w:rPr>
          <w:b/>
          <w:sz w:val="24"/>
          <w:lang w:val="en-US"/>
        </w:rPr>
        <w:t>Discussion and Decision</w:t>
      </w:r>
    </w:p>
    <w:p w:rsidR="00292559" w:rsidRPr="00E0063E" w:rsidRDefault="00292559" w:rsidP="00292559">
      <w:pPr>
        <w:pStyle w:val="Tdoc"/>
      </w:pPr>
      <w:r w:rsidRPr="00E0063E">
        <w:t>Introduction</w:t>
      </w:r>
      <w:r w:rsidRPr="00E0063E">
        <w:rPr>
          <w:lang w:val="en-GB"/>
        </w:rPr>
        <w:t xml:space="preserve">  </w:t>
      </w:r>
    </w:p>
    <w:p w:rsidR="0041767B" w:rsidRDefault="0041767B" w:rsidP="0041767B">
      <w:pPr>
        <w:rPr>
          <w:rFonts w:ascii="Times New Roman" w:eastAsiaTheme="minorEastAsia" w:hAnsi="Times New Roman"/>
          <w:noProof/>
          <w:lang w:eastAsia="zh-TW"/>
        </w:rPr>
      </w:pPr>
      <w:r>
        <w:rPr>
          <w:rFonts w:ascii="Times New Roman" w:eastAsiaTheme="minorEastAsia" w:hAnsi="Times New Roman" w:hint="eastAsia"/>
          <w:noProof/>
          <w:lang w:eastAsia="zh-TW"/>
        </w:rPr>
        <w:t>T</w:t>
      </w:r>
      <w:r>
        <w:rPr>
          <w:rFonts w:ascii="Times New Roman" w:eastAsiaTheme="minorEastAsia" w:hAnsi="Times New Roman"/>
          <w:noProof/>
          <w:lang w:eastAsia="zh-TW"/>
        </w:rPr>
        <w:t xml:space="preserve">he RAN2#107 meeting specified the email discussion </w:t>
      </w:r>
      <w:r>
        <w:rPr>
          <w:rFonts w:ascii="Times New Roman" w:eastAsiaTheme="minorEastAsia" w:hAnsi="Times New Roman"/>
          <w:noProof/>
          <w:lang w:eastAsia="zh-TW"/>
        </w:rPr>
        <w:fldChar w:fldCharType="begin"/>
      </w:r>
      <w:r>
        <w:rPr>
          <w:rFonts w:ascii="Times New Roman" w:eastAsiaTheme="minorEastAsia" w:hAnsi="Times New Roman"/>
          <w:noProof/>
          <w:lang w:eastAsia="zh-TW"/>
        </w:rPr>
        <w:instrText xml:space="preserve"> REF _Ref21041947 \r \h </w:instrText>
      </w:r>
      <w:r>
        <w:rPr>
          <w:rFonts w:ascii="Times New Roman" w:eastAsiaTheme="minorEastAsia" w:hAnsi="Times New Roman"/>
          <w:noProof/>
          <w:lang w:eastAsia="zh-TW"/>
        </w:rPr>
      </w:r>
      <w:r>
        <w:rPr>
          <w:rFonts w:ascii="Times New Roman" w:eastAsiaTheme="minorEastAsia" w:hAnsi="Times New Roman"/>
          <w:noProof/>
          <w:lang w:eastAsia="zh-TW"/>
        </w:rPr>
        <w:fldChar w:fldCharType="separate"/>
      </w:r>
      <w:r>
        <w:rPr>
          <w:rFonts w:ascii="Times New Roman" w:eastAsiaTheme="minorEastAsia" w:hAnsi="Times New Roman"/>
          <w:noProof/>
          <w:lang w:eastAsia="zh-TW"/>
        </w:rPr>
        <w:t>[1]</w:t>
      </w:r>
      <w:r>
        <w:rPr>
          <w:rFonts w:ascii="Times New Roman" w:eastAsiaTheme="minorEastAsia" w:hAnsi="Times New Roman"/>
          <w:noProof/>
          <w:lang w:eastAsia="zh-TW"/>
        </w:rPr>
        <w:fldChar w:fldCharType="end"/>
      </w:r>
      <w:r>
        <w:rPr>
          <w:rFonts w:ascii="Times New Roman" w:eastAsiaTheme="minorEastAsia" w:hAnsi="Times New Roman"/>
          <w:noProof/>
          <w:lang w:eastAsia="zh-TW"/>
        </w:rPr>
        <w:t xml:space="preserve"> on QoS flows in SLRB for the discussion on </w:t>
      </w:r>
      <w:r>
        <w:rPr>
          <w:rFonts w:ascii="Times New Roman" w:eastAsiaTheme="minorEastAsia" w:hAnsi="Times New Roman"/>
          <w:noProof/>
          <w:lang w:eastAsia="zh-TW"/>
        </w:rPr>
        <w:fldChar w:fldCharType="begin"/>
      </w:r>
      <w:r>
        <w:rPr>
          <w:rFonts w:ascii="Times New Roman" w:eastAsiaTheme="minorEastAsia" w:hAnsi="Times New Roman"/>
          <w:noProof/>
          <w:lang w:eastAsia="zh-TW"/>
        </w:rPr>
        <w:instrText xml:space="preserve"> REF _Ref21042027 \r \h </w:instrText>
      </w:r>
      <w:r>
        <w:rPr>
          <w:rFonts w:ascii="Times New Roman" w:eastAsiaTheme="minorEastAsia" w:hAnsi="Times New Roman"/>
          <w:noProof/>
          <w:lang w:eastAsia="zh-TW"/>
        </w:rPr>
      </w:r>
      <w:r>
        <w:rPr>
          <w:rFonts w:ascii="Times New Roman" w:eastAsiaTheme="minorEastAsia" w:hAnsi="Times New Roman"/>
          <w:noProof/>
          <w:lang w:eastAsia="zh-TW"/>
        </w:rPr>
        <w:fldChar w:fldCharType="separate"/>
      </w:r>
      <w:r>
        <w:rPr>
          <w:rFonts w:ascii="Times New Roman" w:eastAsiaTheme="minorEastAsia" w:hAnsi="Times New Roman"/>
          <w:noProof/>
          <w:lang w:eastAsia="zh-TW"/>
        </w:rPr>
        <w:t>[2]</w:t>
      </w:r>
      <w:r>
        <w:rPr>
          <w:rFonts w:ascii="Times New Roman" w:eastAsiaTheme="minorEastAsia" w:hAnsi="Times New Roman"/>
          <w:noProof/>
          <w:lang w:eastAsia="zh-TW"/>
        </w:rPr>
        <w:fldChar w:fldCharType="end"/>
      </w:r>
    </w:p>
    <w:p w:rsidR="0041767B" w:rsidRPr="0078385D" w:rsidRDefault="0041767B" w:rsidP="0041767B">
      <w:pPr>
        <w:rPr>
          <w:rFonts w:ascii="Times New Roman" w:eastAsiaTheme="minorEastAsia" w:hAnsi="Times New Roman"/>
          <w:noProof/>
          <w:lang w:eastAsia="zh-TW"/>
        </w:rPr>
      </w:pPr>
      <w:r w:rsidRPr="0078385D">
        <w:rPr>
          <w:rFonts w:ascii="Times New Roman" w:eastAsiaTheme="minorEastAsia" w:hAnsi="Times New Roman"/>
          <w:noProof/>
          <w:lang w:eastAsia="zh-TW"/>
        </w:rPr>
        <w:t>- QoS information report by UE in RRC connected state</w:t>
      </w:r>
    </w:p>
    <w:p w:rsidR="0041767B" w:rsidRPr="0078385D" w:rsidRDefault="0041767B" w:rsidP="0041767B">
      <w:pPr>
        <w:rPr>
          <w:rFonts w:ascii="Times New Roman" w:eastAsiaTheme="minorEastAsia" w:hAnsi="Times New Roman"/>
          <w:noProof/>
          <w:lang w:eastAsia="zh-TW"/>
        </w:rPr>
      </w:pPr>
      <w:r w:rsidRPr="0078385D">
        <w:rPr>
          <w:rFonts w:ascii="Times New Roman" w:eastAsiaTheme="minorEastAsia" w:hAnsi="Times New Roman"/>
          <w:noProof/>
          <w:lang w:eastAsia="zh-TW"/>
        </w:rPr>
        <w:t>- The QoS flow to SLRB mapping in dedicated RRC signaling</w:t>
      </w:r>
    </w:p>
    <w:p w:rsidR="0041767B" w:rsidRPr="0078385D" w:rsidRDefault="0041767B" w:rsidP="0041767B">
      <w:pPr>
        <w:rPr>
          <w:rFonts w:ascii="Times New Roman" w:eastAsiaTheme="minorEastAsia" w:hAnsi="Times New Roman"/>
          <w:noProof/>
          <w:lang w:eastAsia="zh-TW"/>
        </w:rPr>
      </w:pPr>
      <w:r w:rsidRPr="0078385D">
        <w:rPr>
          <w:rFonts w:ascii="Times New Roman" w:eastAsiaTheme="minorEastAsia" w:hAnsi="Times New Roman"/>
          <w:noProof/>
          <w:lang w:eastAsia="zh-TW"/>
        </w:rPr>
        <w:t>- The PC5 QoS parameter to SLRB mapping in SIB</w:t>
      </w:r>
    </w:p>
    <w:p w:rsidR="0041767B" w:rsidRDefault="0041767B" w:rsidP="0041767B">
      <w:pPr>
        <w:rPr>
          <w:rFonts w:ascii="Times New Roman" w:eastAsiaTheme="minorEastAsia" w:hAnsi="Times New Roman"/>
          <w:noProof/>
          <w:lang w:eastAsia="zh-TW"/>
        </w:rPr>
      </w:pPr>
      <w:r w:rsidRPr="0078385D">
        <w:rPr>
          <w:rFonts w:ascii="Times New Roman" w:eastAsiaTheme="minorEastAsia" w:hAnsi="Times New Roman"/>
          <w:noProof/>
          <w:lang w:eastAsia="zh-TW"/>
        </w:rPr>
        <w:t>- The PC5 QoS parameter to SLRB mapping in pre-configuration</w:t>
      </w:r>
    </w:p>
    <w:p w:rsidR="0041767B" w:rsidRDefault="0041767B" w:rsidP="0041767B">
      <w:pPr>
        <w:rPr>
          <w:rFonts w:ascii="Times New Roman" w:eastAsiaTheme="minorEastAsia" w:hAnsi="Times New Roman"/>
          <w:noProof/>
          <w:lang w:eastAsia="zh-TW"/>
        </w:rPr>
      </w:pPr>
    </w:p>
    <w:p w:rsidR="0041767B" w:rsidRDefault="00404FC7" w:rsidP="0041767B">
      <w:pPr>
        <w:rPr>
          <w:rFonts w:ascii="Times New Roman" w:eastAsiaTheme="minorEastAsia" w:hAnsi="Times New Roman"/>
          <w:noProof/>
          <w:lang w:eastAsia="zh-TW"/>
        </w:rPr>
      </w:pPr>
      <w:r>
        <w:rPr>
          <w:rFonts w:ascii="Times New Roman" w:eastAsiaTheme="minorEastAsia" w:hAnsi="Times New Roman"/>
          <w:noProof/>
          <w:lang w:eastAsia="zh-TW"/>
        </w:rPr>
        <w:t>While the QoS parameter details have not been confirmed in the current discussion, t</w:t>
      </w:r>
      <w:r w:rsidR="0041767B">
        <w:rPr>
          <w:rFonts w:ascii="Times New Roman" w:eastAsiaTheme="minorEastAsia" w:hAnsi="Times New Roman"/>
          <w:noProof/>
          <w:lang w:eastAsia="zh-TW"/>
        </w:rPr>
        <w:t>his contribution proposed remaining issues for the L2/L3 QoS support in NR.</w:t>
      </w:r>
    </w:p>
    <w:p w:rsidR="0041767B" w:rsidRPr="00FB31EA" w:rsidRDefault="0041767B" w:rsidP="0041767B">
      <w:pPr>
        <w:rPr>
          <w:rFonts w:ascii="Times New Roman" w:eastAsiaTheme="minorEastAsia" w:hAnsi="Times New Roman"/>
          <w:noProof/>
          <w:lang w:eastAsia="zh-TW"/>
        </w:rPr>
      </w:pPr>
    </w:p>
    <w:p w:rsidR="0041767B" w:rsidRPr="001C137C" w:rsidRDefault="0041767B" w:rsidP="0041767B">
      <w:pPr>
        <w:pStyle w:val="Tdoc"/>
      </w:pPr>
      <w:r>
        <w:t>Discussion</w:t>
      </w:r>
    </w:p>
    <w:p w:rsidR="0041767B" w:rsidRPr="00305CD5" w:rsidRDefault="0041767B" w:rsidP="0041767B">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QoS report and SLRB configuration</w:t>
      </w:r>
    </w:p>
    <w:p w:rsidR="0041767B" w:rsidRDefault="0041767B" w:rsidP="0041767B">
      <w:pPr>
        <w:spacing w:after="0"/>
        <w:rPr>
          <w:rFonts w:ascii="Times New Roman" w:eastAsiaTheme="minorEastAsia" w:hAnsi="Times New Roman"/>
          <w:lang w:eastAsia="zh-TW" w:bidi="hi-IN"/>
        </w:rPr>
      </w:pPr>
      <w:r>
        <w:rPr>
          <w:rFonts w:ascii="Times New Roman" w:eastAsiaTheme="minorEastAsia" w:hAnsi="Times New Roman"/>
          <w:lang w:eastAsia="zh-TW" w:bidi="hi-IN"/>
        </w:rPr>
        <w:t xml:space="preserve">An exemplary procedure figure for the UE reporting PC5 QoS parameters and the corresponding SLRB to QoS mapping is provided in </w:t>
      </w:r>
      <w:r>
        <w:rPr>
          <w:rFonts w:ascii="Times New Roman" w:eastAsiaTheme="minorEastAsia" w:hAnsi="Times New Roman"/>
          <w:lang w:eastAsia="zh-TW" w:bidi="hi-IN"/>
        </w:rPr>
        <w:fldChar w:fldCharType="begin"/>
      </w:r>
      <w:r>
        <w:rPr>
          <w:rFonts w:ascii="Times New Roman" w:eastAsiaTheme="minorEastAsia" w:hAnsi="Times New Roman"/>
          <w:lang w:eastAsia="zh-TW" w:bidi="hi-IN"/>
        </w:rPr>
        <w:instrText xml:space="preserve"> REF _Ref21042027 \r \h </w:instrText>
      </w:r>
      <w:r>
        <w:rPr>
          <w:rFonts w:ascii="Times New Roman" w:eastAsiaTheme="minorEastAsia" w:hAnsi="Times New Roman"/>
          <w:lang w:eastAsia="zh-TW" w:bidi="hi-IN"/>
        </w:rPr>
      </w:r>
      <w:r>
        <w:rPr>
          <w:rFonts w:ascii="Times New Roman" w:eastAsiaTheme="minorEastAsia" w:hAnsi="Times New Roman"/>
          <w:lang w:eastAsia="zh-TW" w:bidi="hi-IN"/>
        </w:rPr>
        <w:fldChar w:fldCharType="separate"/>
      </w:r>
      <w:r>
        <w:rPr>
          <w:rFonts w:ascii="Times New Roman" w:eastAsiaTheme="minorEastAsia" w:hAnsi="Times New Roman"/>
          <w:lang w:eastAsia="zh-TW" w:bidi="hi-IN"/>
        </w:rPr>
        <w:t>[2]</w:t>
      </w:r>
      <w:r>
        <w:rPr>
          <w:rFonts w:ascii="Times New Roman" w:eastAsiaTheme="minorEastAsia" w:hAnsi="Times New Roman"/>
          <w:lang w:eastAsia="zh-TW" w:bidi="hi-IN"/>
        </w:rPr>
        <w:fldChar w:fldCharType="end"/>
      </w:r>
      <w:r>
        <w:rPr>
          <w:rFonts w:ascii="Times New Roman" w:eastAsiaTheme="minorEastAsia" w:hAnsi="Times New Roman"/>
          <w:lang w:eastAsia="zh-TW" w:bidi="hi-IN"/>
        </w:rPr>
        <w:t>:</w:t>
      </w:r>
    </w:p>
    <w:p w:rsidR="0041767B" w:rsidRPr="00025368" w:rsidRDefault="0041767B" w:rsidP="0041767B">
      <w:pPr>
        <w:spacing w:after="0"/>
        <w:rPr>
          <w:rFonts w:ascii="Times New Roman" w:eastAsiaTheme="minorEastAsia" w:hAnsi="Times New Roman"/>
          <w:lang w:eastAsia="zh-TW" w:bidi="hi-IN"/>
        </w:rPr>
      </w:pPr>
    </w:p>
    <w:p w:rsidR="0041767B" w:rsidRPr="00025368" w:rsidRDefault="0041767B" w:rsidP="0041767B">
      <w:pPr>
        <w:spacing w:after="0"/>
        <w:rPr>
          <w:rFonts w:ascii="Times New Roman" w:eastAsiaTheme="minorEastAsia" w:hAnsi="Times New Roman"/>
          <w:lang w:eastAsia="zh-TW" w:bidi="hi-IN"/>
        </w:rPr>
      </w:pPr>
      <w:r w:rsidRPr="003B5351">
        <w:rPr>
          <w:rFonts w:eastAsia="SimSun" w:cs="Arial"/>
          <w:noProof/>
          <w:lang w:val="en-US" w:eastAsia="zh-TW"/>
        </w:rPr>
        <w:drawing>
          <wp:inline distT="0" distB="0" distL="0" distR="0" wp14:anchorId="1F984850" wp14:editId="301AEE6B">
            <wp:extent cx="4389120" cy="201168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9120" cy="2011680"/>
                    </a:xfrm>
                    <a:prstGeom prst="rect">
                      <a:avLst/>
                    </a:prstGeom>
                    <a:noFill/>
                    <a:ln>
                      <a:noFill/>
                    </a:ln>
                  </pic:spPr>
                </pic:pic>
              </a:graphicData>
            </a:graphic>
          </wp:inline>
        </w:drawing>
      </w:r>
    </w:p>
    <w:p w:rsidR="0041767B" w:rsidRDefault="0041767B" w:rsidP="0041767B">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W</w:t>
      </w:r>
      <w:r>
        <w:rPr>
          <w:rFonts w:ascii="Times New Roman" w:eastAsiaTheme="minorEastAsia" w:hAnsi="Times New Roman"/>
          <w:lang w:eastAsia="zh-TW" w:bidi="hi-IN"/>
        </w:rPr>
        <w:t>hile enabling UE reporting the PC5 QoS parameters is necessary for the NG-RAN to know about the QoS parameters of each QoS flow, the way of reporting on a per QoS flow per destination basis may influenced the complexity and overhead of the UE report and RRC configuration message. This is especially crucial for the 1-M transmission such as groupcast and broadcast, because 1 QoS flow may include several packets delivered to several different destinations, and thus the reporting on a per QoS flow per destination basis can be implemented by different methods.</w:t>
      </w:r>
    </w:p>
    <w:p w:rsidR="0041767B" w:rsidRDefault="0041767B" w:rsidP="0041767B">
      <w:pPr>
        <w:spacing w:after="0"/>
        <w:rPr>
          <w:rFonts w:ascii="Times New Roman" w:eastAsiaTheme="minorEastAsia" w:hAnsi="Times New Roman"/>
          <w:lang w:eastAsia="zh-TW" w:bidi="hi-IN"/>
        </w:rPr>
      </w:pPr>
    </w:p>
    <w:p w:rsidR="0041767B" w:rsidRDefault="0041767B" w:rsidP="0062422B">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T</w:t>
      </w:r>
      <w:r>
        <w:rPr>
          <w:rFonts w:ascii="Times New Roman" w:eastAsiaTheme="minorEastAsia" w:hAnsi="Times New Roman"/>
          <w:lang w:eastAsia="zh-TW" w:bidi="hi-IN"/>
        </w:rPr>
        <w:t xml:space="preserve">he NG-RAN provides the mapping of PC5 QoS flow to SLRB based on the QoS information reported by the UE. The UE will derive the PC5 QoS parameters for the PC5 QoS flow and assign a PFI for the PC5 QoS flow. Because only per-flow QoS model is supported in NR V2X </w:t>
      </w:r>
      <w:r>
        <w:rPr>
          <w:rFonts w:ascii="Times New Roman" w:eastAsiaTheme="minorEastAsia" w:hAnsi="Times New Roman"/>
          <w:lang w:eastAsia="zh-TW" w:bidi="hi-IN"/>
        </w:rPr>
        <w:fldChar w:fldCharType="begin"/>
      </w:r>
      <w:r>
        <w:rPr>
          <w:rFonts w:ascii="Times New Roman" w:eastAsiaTheme="minorEastAsia" w:hAnsi="Times New Roman"/>
          <w:lang w:eastAsia="zh-TW" w:bidi="hi-IN"/>
        </w:rPr>
        <w:instrText xml:space="preserve"> REF _Ref21044539 \r \h </w:instrText>
      </w:r>
      <w:r>
        <w:rPr>
          <w:rFonts w:ascii="Times New Roman" w:eastAsiaTheme="minorEastAsia" w:hAnsi="Times New Roman"/>
          <w:lang w:eastAsia="zh-TW" w:bidi="hi-IN"/>
        </w:rPr>
      </w:r>
      <w:r>
        <w:rPr>
          <w:rFonts w:ascii="Times New Roman" w:eastAsiaTheme="minorEastAsia" w:hAnsi="Times New Roman"/>
          <w:lang w:eastAsia="zh-TW" w:bidi="hi-IN"/>
        </w:rPr>
        <w:fldChar w:fldCharType="separate"/>
      </w:r>
      <w:r>
        <w:rPr>
          <w:rFonts w:ascii="Times New Roman" w:eastAsiaTheme="minorEastAsia" w:hAnsi="Times New Roman"/>
          <w:lang w:eastAsia="zh-TW" w:bidi="hi-IN"/>
        </w:rPr>
        <w:t>[3]</w:t>
      </w:r>
      <w:r>
        <w:rPr>
          <w:rFonts w:ascii="Times New Roman" w:eastAsiaTheme="minorEastAsia" w:hAnsi="Times New Roman"/>
          <w:lang w:eastAsia="zh-TW" w:bidi="hi-IN"/>
        </w:rPr>
        <w:fldChar w:fldCharType="end"/>
      </w:r>
      <w:r>
        <w:rPr>
          <w:rFonts w:ascii="Times New Roman" w:eastAsiaTheme="minorEastAsia" w:hAnsi="Times New Roman"/>
          <w:lang w:eastAsia="zh-TW" w:bidi="hi-IN"/>
        </w:rPr>
        <w:t xml:space="preserve">, the unicast, groupcast, and broadcast operation should be supported with such model. The unicast case is much simpler in view of QoS report in view that each unicast link belongs to one QoS flow and it has its own distinct destination. Therefore, the focus of QoS report should be on the groupcast and broadcast. </w:t>
      </w:r>
      <w:r>
        <w:rPr>
          <w:rFonts w:ascii="Times New Roman" w:eastAsiaTheme="minorEastAsia" w:hAnsi="Times New Roman"/>
          <w:lang w:eastAsia="zh-TW" w:bidi="hi-IN"/>
        </w:rPr>
        <w:lastRenderedPageBreak/>
        <w:t>The one-to-many characteristic of transmission enables one source node transmitting data to multiple destination, within only one QoS flow. (It can be arguable if the groupcast or groupcast is configu</w:t>
      </w:r>
      <w:r w:rsidR="0062422B">
        <w:rPr>
          <w:rFonts w:ascii="Times New Roman" w:eastAsiaTheme="minorEastAsia" w:hAnsi="Times New Roman"/>
          <w:lang w:eastAsia="zh-TW" w:bidi="hi-IN"/>
        </w:rPr>
        <w:t>red as multiple unicast links.)</w:t>
      </w:r>
    </w:p>
    <w:p w:rsidR="0062422B" w:rsidRDefault="0062422B" w:rsidP="0062422B">
      <w:pPr>
        <w:spacing w:after="0"/>
        <w:rPr>
          <w:rFonts w:ascii="Times New Roman" w:eastAsiaTheme="minorEastAsia" w:hAnsi="Times New Roman"/>
          <w:lang w:eastAsia="zh-TW" w:bidi="hi-IN"/>
        </w:rPr>
      </w:pPr>
    </w:p>
    <w:p w:rsidR="0041767B" w:rsidRDefault="0041767B" w:rsidP="0041767B">
      <w:pPr>
        <w:rPr>
          <w:rFonts w:ascii="Times New Roman" w:eastAsiaTheme="minorEastAsia" w:hAnsi="Times New Roman"/>
          <w:lang w:eastAsia="zh-TW" w:bidi="hi-IN"/>
        </w:rPr>
      </w:pPr>
      <w:r>
        <w:rPr>
          <w:rFonts w:ascii="Times New Roman" w:eastAsiaTheme="minorEastAsia" w:hAnsi="Times New Roman" w:hint="eastAsia"/>
          <w:lang w:eastAsia="zh-TW" w:bidi="hi-IN"/>
        </w:rPr>
        <w:t>W</w:t>
      </w:r>
      <w:r>
        <w:rPr>
          <w:rFonts w:ascii="Times New Roman" w:eastAsiaTheme="minorEastAsia" w:hAnsi="Times New Roman"/>
          <w:lang w:eastAsia="zh-TW" w:bidi="hi-IN"/>
        </w:rPr>
        <w:t>hile there is limited time remained for the Release 16 NR V2X standardization, the QoS support for all the casting types should be detailed and tailored to fit the future V2X applications and services. The PC5 QoS parameters reporting, with standardized and non-standardized PQI, can be limited to PQI, PC5 flow bit rates, PC5 LINK-AMBR, range, or default values, but the casting type specific QoS parameters might be considered in the later stage, trying to capture the requirement of next-step V2X or 5G D2D.</w:t>
      </w:r>
    </w:p>
    <w:p w:rsidR="0041767B" w:rsidRDefault="0041767B" w:rsidP="0041767B">
      <w:pPr>
        <w:rPr>
          <w:rFonts w:ascii="Times New Roman" w:eastAsiaTheme="minorEastAsia" w:hAnsi="Times New Roman"/>
          <w:lang w:eastAsia="zh-TW" w:bidi="hi-IN"/>
        </w:rPr>
      </w:pPr>
    </w:p>
    <w:p w:rsidR="0041767B" w:rsidRPr="009A5A5C" w:rsidRDefault="0041767B" w:rsidP="0041767B">
      <w:pPr>
        <w:pStyle w:val="Observation"/>
        <w:numPr>
          <w:ilvl w:val="0"/>
          <w:numId w:val="0"/>
        </w:numPr>
        <w:ind w:left="1695" w:hanging="1695"/>
        <w:rPr>
          <w:rFonts w:eastAsiaTheme="minorEastAsia"/>
          <w:lang w:eastAsia="zh-TW"/>
        </w:rPr>
      </w:pPr>
      <w:r w:rsidRPr="009A5A5C">
        <w:rPr>
          <w:rFonts w:eastAsiaTheme="minorEastAsia" w:hint="eastAsia"/>
          <w:lang w:eastAsia="zh-TW"/>
        </w:rPr>
        <w:t>P</w:t>
      </w:r>
      <w:r w:rsidRPr="009A5A5C">
        <w:rPr>
          <w:rFonts w:eastAsiaTheme="minorEastAsia"/>
          <w:lang w:eastAsia="zh-TW"/>
        </w:rPr>
        <w:t xml:space="preserve">roposal: </w:t>
      </w:r>
      <w:r>
        <w:rPr>
          <w:rFonts w:eastAsiaTheme="minorEastAsia"/>
          <w:lang w:eastAsia="zh-TW"/>
        </w:rPr>
        <w:tab/>
      </w:r>
      <w:r w:rsidRPr="009A5A5C">
        <w:rPr>
          <w:rFonts w:eastAsiaTheme="minorEastAsia"/>
          <w:lang w:eastAsia="zh-TW"/>
        </w:rPr>
        <w:t>Consider the PC5 QoS parameter report per QoS flow per destination for the groupcast and broadcast. Include necessary parameters specific for 1-M casting types.</w:t>
      </w:r>
    </w:p>
    <w:p w:rsidR="0041767B" w:rsidRPr="009A5A5C" w:rsidRDefault="0041767B" w:rsidP="0041767B">
      <w:pPr>
        <w:spacing w:after="0"/>
        <w:rPr>
          <w:rFonts w:ascii="Times New Roman" w:eastAsiaTheme="minorEastAsia" w:hAnsi="Times New Roman"/>
          <w:lang w:eastAsia="zh-TW" w:bidi="hi-IN"/>
        </w:rPr>
      </w:pPr>
    </w:p>
    <w:p w:rsidR="0041767B" w:rsidRPr="00E0063E" w:rsidRDefault="0041767B" w:rsidP="0041767B">
      <w:pPr>
        <w:pStyle w:val="Tdoc"/>
      </w:pPr>
      <w:r w:rsidRPr="00E0063E">
        <w:t>Conclusion</w:t>
      </w:r>
    </w:p>
    <w:p w:rsidR="0041767B" w:rsidRPr="00630805" w:rsidRDefault="0041767B" w:rsidP="0041767B">
      <w:pPr>
        <w:spacing w:after="180"/>
        <w:rPr>
          <w:rFonts w:ascii="Times New Roman" w:eastAsia="SimSun" w:hAnsi="Times New Roman"/>
          <w:bCs/>
        </w:rPr>
      </w:pPr>
      <w:bookmarkStart w:id="3" w:name="_Ref458739888"/>
      <w:r>
        <w:rPr>
          <w:rFonts w:ascii="Times New Roman" w:hAnsi="Times New Roman"/>
          <w:bCs/>
        </w:rPr>
        <w:t>This contribution provides the following and proposal:</w:t>
      </w:r>
    </w:p>
    <w:p w:rsidR="0041767B" w:rsidRPr="009A5A5C" w:rsidRDefault="0041767B" w:rsidP="0041767B">
      <w:pPr>
        <w:pStyle w:val="Observation"/>
        <w:numPr>
          <w:ilvl w:val="0"/>
          <w:numId w:val="0"/>
        </w:numPr>
        <w:ind w:left="1695" w:hanging="1695"/>
        <w:rPr>
          <w:rFonts w:eastAsiaTheme="minorEastAsia"/>
          <w:lang w:eastAsia="zh-TW"/>
        </w:rPr>
      </w:pPr>
      <w:r w:rsidRPr="009A5A5C">
        <w:rPr>
          <w:rFonts w:eastAsiaTheme="minorEastAsia" w:hint="eastAsia"/>
          <w:lang w:eastAsia="zh-TW"/>
        </w:rPr>
        <w:t>P</w:t>
      </w:r>
      <w:r w:rsidRPr="009A5A5C">
        <w:rPr>
          <w:rFonts w:eastAsiaTheme="minorEastAsia"/>
          <w:lang w:eastAsia="zh-TW"/>
        </w:rPr>
        <w:t xml:space="preserve">roposal </w:t>
      </w:r>
      <w:r>
        <w:rPr>
          <w:rFonts w:eastAsiaTheme="minorEastAsia"/>
          <w:lang w:eastAsia="zh-TW"/>
        </w:rPr>
        <w:tab/>
      </w:r>
      <w:r w:rsidRPr="009A5A5C">
        <w:rPr>
          <w:rFonts w:eastAsiaTheme="minorEastAsia"/>
          <w:lang w:eastAsia="zh-TW"/>
        </w:rPr>
        <w:t>Consider the PC5 QoS parameter report per QoS flow per destination for the groupcast and broadcast. Include necessary parameters specific for 1-M casting types.</w:t>
      </w:r>
    </w:p>
    <w:p w:rsidR="0041767B" w:rsidRPr="00CA54BE" w:rsidRDefault="0041767B" w:rsidP="0041767B">
      <w:pPr>
        <w:pStyle w:val="Observation"/>
        <w:numPr>
          <w:ilvl w:val="0"/>
          <w:numId w:val="0"/>
        </w:numPr>
        <w:ind w:left="1701" w:hanging="1701"/>
        <w:rPr>
          <w:rFonts w:eastAsiaTheme="minorEastAsia"/>
          <w:lang w:eastAsia="zh-TW"/>
        </w:rPr>
      </w:pPr>
    </w:p>
    <w:p w:rsidR="0041767B" w:rsidRPr="00482D0F" w:rsidRDefault="0041767B" w:rsidP="0041767B">
      <w:pPr>
        <w:pStyle w:val="Tdoc"/>
      </w:pPr>
      <w:r>
        <w:rPr>
          <w:rFonts w:eastAsiaTheme="minorEastAsia" w:hint="eastAsia"/>
          <w:lang w:eastAsia="zh-TW"/>
        </w:rPr>
        <w:t>References</w:t>
      </w:r>
    </w:p>
    <w:p w:rsidR="0041767B" w:rsidRDefault="0041767B" w:rsidP="0041767B">
      <w:pPr>
        <w:pStyle w:val="afc"/>
        <w:numPr>
          <w:ilvl w:val="0"/>
          <w:numId w:val="14"/>
        </w:numPr>
        <w:rPr>
          <w:rFonts w:eastAsiaTheme="minorEastAsia"/>
          <w:lang w:eastAsia="zh-TW"/>
        </w:rPr>
      </w:pPr>
      <w:bookmarkStart w:id="4" w:name="_Ref21041947"/>
      <w:bookmarkStart w:id="5" w:name="_Ref4663936"/>
      <w:bookmarkEnd w:id="3"/>
      <w:r>
        <w:rPr>
          <w:rFonts w:eastAsiaTheme="minorEastAsia" w:hint="eastAsia"/>
          <w:lang w:eastAsia="zh-TW"/>
        </w:rPr>
        <w:t>D</w:t>
      </w:r>
      <w:r>
        <w:rPr>
          <w:rFonts w:eastAsiaTheme="minorEastAsia"/>
          <w:lang w:eastAsia="zh-TW"/>
        </w:rPr>
        <w:t>raft RAN2 107 Report v1</w:t>
      </w:r>
      <w:bookmarkEnd w:id="4"/>
    </w:p>
    <w:p w:rsidR="0041767B" w:rsidRDefault="0041767B" w:rsidP="0041767B">
      <w:pPr>
        <w:pStyle w:val="afc"/>
        <w:numPr>
          <w:ilvl w:val="0"/>
          <w:numId w:val="14"/>
        </w:numPr>
        <w:rPr>
          <w:rFonts w:eastAsiaTheme="minorEastAsia"/>
          <w:lang w:eastAsia="zh-TW"/>
        </w:rPr>
      </w:pPr>
      <w:bookmarkStart w:id="6" w:name="_Ref21042027"/>
      <w:r>
        <w:rPr>
          <w:rFonts w:eastAsiaTheme="minorEastAsia"/>
          <w:lang w:eastAsia="zh-TW"/>
        </w:rPr>
        <w:t xml:space="preserve">Report of </w:t>
      </w:r>
      <w:r>
        <w:rPr>
          <w:rFonts w:eastAsiaTheme="minorEastAsia" w:hint="eastAsia"/>
          <w:lang w:eastAsia="zh-TW"/>
        </w:rPr>
        <w:t>[</w:t>
      </w:r>
      <w:r>
        <w:rPr>
          <w:rFonts w:eastAsiaTheme="minorEastAsia"/>
          <w:lang w:eastAsia="zh-TW"/>
        </w:rPr>
        <w:t>107#74] [NR/V2X] QoS flows in SLRB</w:t>
      </w:r>
      <w:bookmarkEnd w:id="6"/>
    </w:p>
    <w:p w:rsidR="00CA54BE" w:rsidRPr="00CA54BE" w:rsidRDefault="0041767B" w:rsidP="001839CF">
      <w:pPr>
        <w:pStyle w:val="afc"/>
        <w:numPr>
          <w:ilvl w:val="0"/>
          <w:numId w:val="14"/>
        </w:numPr>
        <w:rPr>
          <w:rFonts w:eastAsiaTheme="minorEastAsia"/>
          <w:lang w:eastAsia="zh-TW"/>
        </w:rPr>
      </w:pPr>
      <w:bookmarkStart w:id="7" w:name="_Ref21044539"/>
      <w:r w:rsidRPr="0041767B">
        <w:rPr>
          <w:rFonts w:eastAsia="Malgun Gothic"/>
          <w:iCs/>
        </w:rPr>
        <w:t xml:space="preserve">S2-1904823, </w:t>
      </w:r>
      <w:r w:rsidRPr="0041767B">
        <w:rPr>
          <w:color w:val="000000"/>
        </w:rPr>
        <w:t>LS response to SA2 on unicast, groupcast and broadcast in NR sidelink, SA2</w:t>
      </w:r>
      <w:bookmarkEnd w:id="5"/>
      <w:bookmarkEnd w:id="7"/>
    </w:p>
    <w:sectPr w:rsidR="00CA54BE" w:rsidRPr="00CA54BE" w:rsidSect="00701470">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640" w:rsidRDefault="00251640">
      <w:r>
        <w:separator/>
      </w:r>
    </w:p>
  </w:endnote>
  <w:endnote w:type="continuationSeparator" w:id="0">
    <w:p w:rsidR="00251640" w:rsidRDefault="00251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GulimChe">
    <w:altName w:val="Malgun Gothic Semilight"/>
    <w:charset w:val="81"/>
    <w:family w:val="modern"/>
    <w:pitch w:val="fixed"/>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26C" w:rsidRDefault="0012364C">
    <w:pPr>
      <w:pStyle w:val="ad"/>
    </w:pPr>
    <w:r>
      <w:fldChar w:fldCharType="begin"/>
    </w:r>
    <w:r w:rsidR="00EC4D6A">
      <w:instrText xml:space="preserve"> PAGE   \* MERGEFORMAT </w:instrText>
    </w:r>
    <w:r>
      <w:fldChar w:fldCharType="separate"/>
    </w:r>
    <w:r w:rsidR="00133BCB">
      <w:t>1</w:t>
    </w:r>
    <w:r>
      <w:fldChar w:fldCharType="end"/>
    </w:r>
  </w:p>
  <w:p w:rsidR="00C0126C" w:rsidRDefault="00C0126C" w:rsidP="00313FD6">
    <w:pPr>
      <w:pStyle w:val="ad"/>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640" w:rsidRDefault="00251640"/>
  </w:footnote>
  <w:footnote w:type="continuationSeparator" w:id="0">
    <w:p w:rsidR="00251640" w:rsidRDefault="00251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8310A4"/>
    <w:multiLevelType w:val="hybridMultilevel"/>
    <w:tmpl w:val="412EE69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 w15:restartNumberingAfterBreak="0">
    <w:nsid w:val="09BE7D39"/>
    <w:multiLevelType w:val="hybridMultilevel"/>
    <w:tmpl w:val="DAF46DAE"/>
    <w:lvl w:ilvl="0" w:tplc="C60C358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CB439E7"/>
    <w:multiLevelType w:val="hybridMultilevel"/>
    <w:tmpl w:val="98AEB43E"/>
    <w:lvl w:ilvl="0" w:tplc="D640F67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0"/>
  </w:num>
  <w:num w:numId="2">
    <w:abstractNumId w:val="11"/>
  </w:num>
  <w:num w:numId="3">
    <w:abstractNumId w:val="6"/>
  </w:num>
  <w:num w:numId="4">
    <w:abstractNumId w:val="7"/>
  </w:num>
  <w:num w:numId="5">
    <w:abstractNumId w:val="4"/>
  </w:num>
  <w:num w:numId="6">
    <w:abstractNumId w:val="9"/>
  </w:num>
  <w:num w:numId="7">
    <w:abstractNumId w:val="13"/>
  </w:num>
  <w:num w:numId="8">
    <w:abstractNumId w:val="5"/>
  </w:num>
  <w:num w:numId="9">
    <w:abstractNumId w:val="12"/>
  </w:num>
  <w:num w:numId="10">
    <w:abstractNumId w:val="10"/>
  </w:num>
  <w:num w:numId="11">
    <w:abstractNumId w:val="8"/>
  </w:num>
  <w:num w:numId="12">
    <w:abstractNumId w:val="14"/>
  </w:num>
  <w:num w:numId="13">
    <w:abstractNumId w:val="1"/>
  </w:num>
  <w:num w:numId="14">
    <w:abstractNumId w:val="3"/>
  </w:num>
  <w:num w:numId="15">
    <w:abstractNumId w:val="12"/>
    <w:lvlOverride w:ilvl="0">
      <w:startOverride w:val="1"/>
    </w:lvlOverride>
  </w:num>
  <w:num w:numId="1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NzA1swAyDEzNLZR0lIJTi4sz8/NACsxrAcE7h+AsAAAA"/>
  </w:docVars>
  <w:rsids>
    <w:rsidRoot w:val="00064732"/>
    <w:rsid w:val="000006E1"/>
    <w:rsid w:val="0000084C"/>
    <w:rsid w:val="00001889"/>
    <w:rsid w:val="000024F9"/>
    <w:rsid w:val="00002517"/>
    <w:rsid w:val="000025D2"/>
    <w:rsid w:val="00002A37"/>
    <w:rsid w:val="00002D87"/>
    <w:rsid w:val="00003AC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0252"/>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3C8"/>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64C"/>
    <w:rsid w:val="0012377F"/>
    <w:rsid w:val="00123DDE"/>
    <w:rsid w:val="00124314"/>
    <w:rsid w:val="00124D13"/>
    <w:rsid w:val="0012590E"/>
    <w:rsid w:val="00126126"/>
    <w:rsid w:val="00126876"/>
    <w:rsid w:val="00126B4A"/>
    <w:rsid w:val="00132166"/>
    <w:rsid w:val="00132B6F"/>
    <w:rsid w:val="00132FD0"/>
    <w:rsid w:val="00133BCB"/>
    <w:rsid w:val="001344C0"/>
    <w:rsid w:val="001346FA"/>
    <w:rsid w:val="00135252"/>
    <w:rsid w:val="00137AB5"/>
    <w:rsid w:val="00137F0B"/>
    <w:rsid w:val="00141C6D"/>
    <w:rsid w:val="00141F46"/>
    <w:rsid w:val="00142FB8"/>
    <w:rsid w:val="001432F0"/>
    <w:rsid w:val="00147D1F"/>
    <w:rsid w:val="00150128"/>
    <w:rsid w:val="001506E9"/>
    <w:rsid w:val="0015105B"/>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6F62"/>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85EDD"/>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B15"/>
    <w:rsid w:val="001C3D2A"/>
    <w:rsid w:val="001C5E60"/>
    <w:rsid w:val="001C634A"/>
    <w:rsid w:val="001C6698"/>
    <w:rsid w:val="001C6ED4"/>
    <w:rsid w:val="001D2AF3"/>
    <w:rsid w:val="001D2CA4"/>
    <w:rsid w:val="001D3497"/>
    <w:rsid w:val="001D41FB"/>
    <w:rsid w:val="001D4502"/>
    <w:rsid w:val="001D4700"/>
    <w:rsid w:val="001D48A6"/>
    <w:rsid w:val="001D48DC"/>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0C92"/>
    <w:rsid w:val="00201707"/>
    <w:rsid w:val="00201E53"/>
    <w:rsid w:val="00201F3A"/>
    <w:rsid w:val="00202DFC"/>
    <w:rsid w:val="00203676"/>
    <w:rsid w:val="00203F96"/>
    <w:rsid w:val="00205719"/>
    <w:rsid w:val="00205BBC"/>
    <w:rsid w:val="00206976"/>
    <w:rsid w:val="002069B2"/>
    <w:rsid w:val="0020724B"/>
    <w:rsid w:val="00207FA3"/>
    <w:rsid w:val="002110E1"/>
    <w:rsid w:val="00212AD0"/>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2643"/>
    <w:rsid w:val="00223A0B"/>
    <w:rsid w:val="00223B35"/>
    <w:rsid w:val="00223FCB"/>
    <w:rsid w:val="0022436F"/>
    <w:rsid w:val="0022449F"/>
    <w:rsid w:val="00224976"/>
    <w:rsid w:val="002252C3"/>
    <w:rsid w:val="00225C54"/>
    <w:rsid w:val="00227754"/>
    <w:rsid w:val="00227C3D"/>
    <w:rsid w:val="00230765"/>
    <w:rsid w:val="00230CCB"/>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46DF5"/>
    <w:rsid w:val="002500C8"/>
    <w:rsid w:val="002502D7"/>
    <w:rsid w:val="00250818"/>
    <w:rsid w:val="00250B5E"/>
    <w:rsid w:val="00251592"/>
    <w:rsid w:val="00251598"/>
    <w:rsid w:val="00251640"/>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559"/>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064A"/>
    <w:rsid w:val="0032108A"/>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4FC7"/>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1767B"/>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B1F"/>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2D0F"/>
    <w:rsid w:val="00483326"/>
    <w:rsid w:val="0048334A"/>
    <w:rsid w:val="00483BB4"/>
    <w:rsid w:val="0048510D"/>
    <w:rsid w:val="00491000"/>
    <w:rsid w:val="0049105F"/>
    <w:rsid w:val="004919DB"/>
    <w:rsid w:val="00491E26"/>
    <w:rsid w:val="004920FE"/>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44C"/>
    <w:rsid w:val="004E56DC"/>
    <w:rsid w:val="004E5D96"/>
    <w:rsid w:val="004E64BF"/>
    <w:rsid w:val="004E76F4"/>
    <w:rsid w:val="004F0B4E"/>
    <w:rsid w:val="004F0B6C"/>
    <w:rsid w:val="004F0F1E"/>
    <w:rsid w:val="004F2078"/>
    <w:rsid w:val="004F252F"/>
    <w:rsid w:val="004F29D9"/>
    <w:rsid w:val="004F3B83"/>
    <w:rsid w:val="004F4A2E"/>
    <w:rsid w:val="004F4DA3"/>
    <w:rsid w:val="004F4EA4"/>
    <w:rsid w:val="004F4F21"/>
    <w:rsid w:val="004F6A4D"/>
    <w:rsid w:val="004F6EC3"/>
    <w:rsid w:val="004F7AA1"/>
    <w:rsid w:val="00500704"/>
    <w:rsid w:val="00500898"/>
    <w:rsid w:val="005027F6"/>
    <w:rsid w:val="00502EA0"/>
    <w:rsid w:val="00502EC1"/>
    <w:rsid w:val="005032DF"/>
    <w:rsid w:val="00503343"/>
    <w:rsid w:val="00504812"/>
    <w:rsid w:val="00506557"/>
    <w:rsid w:val="0050677A"/>
    <w:rsid w:val="00506B7E"/>
    <w:rsid w:val="005108D8"/>
    <w:rsid w:val="00510C8E"/>
    <w:rsid w:val="005116F9"/>
    <w:rsid w:val="00514848"/>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673"/>
    <w:rsid w:val="00561B01"/>
    <w:rsid w:val="005621AD"/>
    <w:rsid w:val="005649A3"/>
    <w:rsid w:val="00571170"/>
    <w:rsid w:val="0057197E"/>
    <w:rsid w:val="00571D64"/>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26BF"/>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11A"/>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22B"/>
    <w:rsid w:val="00624AC6"/>
    <w:rsid w:val="00625461"/>
    <w:rsid w:val="00625C52"/>
    <w:rsid w:val="00627EF9"/>
    <w:rsid w:val="00627FF8"/>
    <w:rsid w:val="00630001"/>
    <w:rsid w:val="00630805"/>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560B"/>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C22"/>
    <w:rsid w:val="00742F56"/>
    <w:rsid w:val="00743A60"/>
    <w:rsid w:val="007445A0"/>
    <w:rsid w:val="00745175"/>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5674"/>
    <w:rsid w:val="00766BAD"/>
    <w:rsid w:val="0077067A"/>
    <w:rsid w:val="007713BC"/>
    <w:rsid w:val="00771D6D"/>
    <w:rsid w:val="00772C2B"/>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0A2"/>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4E5A"/>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397C"/>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681C"/>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0F0B"/>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3F44"/>
    <w:rsid w:val="00954161"/>
    <w:rsid w:val="00954C11"/>
    <w:rsid w:val="00955741"/>
    <w:rsid w:val="0095681E"/>
    <w:rsid w:val="009572D4"/>
    <w:rsid w:val="00960183"/>
    <w:rsid w:val="00961921"/>
    <w:rsid w:val="00961D9E"/>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0FA5"/>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4AF0"/>
    <w:rsid w:val="00B372AA"/>
    <w:rsid w:val="00B3733E"/>
    <w:rsid w:val="00B40445"/>
    <w:rsid w:val="00B41888"/>
    <w:rsid w:val="00B41CA9"/>
    <w:rsid w:val="00B42E9D"/>
    <w:rsid w:val="00B43C84"/>
    <w:rsid w:val="00B4565D"/>
    <w:rsid w:val="00B45A52"/>
    <w:rsid w:val="00B45FF7"/>
    <w:rsid w:val="00B460AB"/>
    <w:rsid w:val="00B46175"/>
    <w:rsid w:val="00B46719"/>
    <w:rsid w:val="00B475E6"/>
    <w:rsid w:val="00B47ED9"/>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19"/>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4F3E"/>
    <w:rsid w:val="00BE6F14"/>
    <w:rsid w:val="00BE73C3"/>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360"/>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4BE"/>
    <w:rsid w:val="00CA55FD"/>
    <w:rsid w:val="00CA5C1C"/>
    <w:rsid w:val="00CA77FB"/>
    <w:rsid w:val="00CB0852"/>
    <w:rsid w:val="00CB098F"/>
    <w:rsid w:val="00CB0CD1"/>
    <w:rsid w:val="00CB1F63"/>
    <w:rsid w:val="00CB3131"/>
    <w:rsid w:val="00CB65AB"/>
    <w:rsid w:val="00CB7170"/>
    <w:rsid w:val="00CC040E"/>
    <w:rsid w:val="00CC0627"/>
    <w:rsid w:val="00CC0C44"/>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1E95"/>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0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58D0"/>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53B"/>
    <w:rsid w:val="00E758EC"/>
    <w:rsid w:val="00E805CC"/>
    <w:rsid w:val="00E81902"/>
    <w:rsid w:val="00E8234C"/>
    <w:rsid w:val="00E8324A"/>
    <w:rsid w:val="00E83AA9"/>
    <w:rsid w:val="00E84A62"/>
    <w:rsid w:val="00E851E6"/>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A03"/>
    <w:rsid w:val="00EB5C6E"/>
    <w:rsid w:val="00EB6ADC"/>
    <w:rsid w:val="00EC195E"/>
    <w:rsid w:val="00EC1B4B"/>
    <w:rsid w:val="00EC27C6"/>
    <w:rsid w:val="00EC27CD"/>
    <w:rsid w:val="00EC3625"/>
    <w:rsid w:val="00EC3674"/>
    <w:rsid w:val="00EC4207"/>
    <w:rsid w:val="00EC4D6A"/>
    <w:rsid w:val="00EC5653"/>
    <w:rsid w:val="00EC71CE"/>
    <w:rsid w:val="00ED1006"/>
    <w:rsid w:val="00ED1478"/>
    <w:rsid w:val="00ED1D95"/>
    <w:rsid w:val="00ED22D2"/>
    <w:rsid w:val="00ED2409"/>
    <w:rsid w:val="00ED2959"/>
    <w:rsid w:val="00ED2BEF"/>
    <w:rsid w:val="00ED2E24"/>
    <w:rsid w:val="00ED5626"/>
    <w:rsid w:val="00ED5A85"/>
    <w:rsid w:val="00ED6690"/>
    <w:rsid w:val="00ED6713"/>
    <w:rsid w:val="00ED7A2C"/>
    <w:rsid w:val="00EE020E"/>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6CB7"/>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770B4"/>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31EA"/>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66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6F1A46-FB0F-4745-9017-2FC6FCA7D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link w:val="a9"/>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sid w:val="00A533D1"/>
    <w:rPr>
      <w:b/>
      <w:bCs/>
      <w:position w:val="6"/>
      <w:sz w:val="16"/>
      <w:szCs w:val="16"/>
    </w:rPr>
  </w:style>
  <w:style w:type="paragraph" w:styleId="ab">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c"/>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d">
    <w:name w:val="footer"/>
    <w:basedOn w:val="a8"/>
    <w:link w:val="ae"/>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f">
    <w:name w:val="Balloon Text"/>
    <w:basedOn w:val="a0"/>
    <w:semiHidden/>
    <w:rsid w:val="00A533D1"/>
    <w:rPr>
      <w:rFonts w:ascii="Tahoma" w:hAnsi="Tahoma" w:cs="Tahoma"/>
      <w:sz w:val="16"/>
      <w:szCs w:val="16"/>
    </w:rPr>
  </w:style>
  <w:style w:type="character" w:styleId="af0">
    <w:name w:val="page number"/>
    <w:semiHidden/>
    <w:rsid w:val="00A533D1"/>
  </w:style>
  <w:style w:type="paragraph" w:styleId="ac">
    <w:name w:val="Body Text"/>
    <w:basedOn w:val="a0"/>
    <w:link w:val="af1"/>
    <w:rsid w:val="00A533D1"/>
  </w:style>
  <w:style w:type="character" w:styleId="af2">
    <w:name w:val="Hyperlink"/>
    <w:uiPriority w:val="99"/>
    <w:rsid w:val="00A533D1"/>
    <w:rPr>
      <w:color w:val="0000FF"/>
      <w:u w:val="single"/>
      <w:lang w:val="en-GB"/>
    </w:rPr>
  </w:style>
  <w:style w:type="character" w:styleId="af3">
    <w:name w:val="FollowedHyperlink"/>
    <w:semiHidden/>
    <w:rsid w:val="00A533D1"/>
    <w:rPr>
      <w:color w:val="FF0000"/>
      <w:u w:val="single"/>
    </w:rPr>
  </w:style>
  <w:style w:type="character" w:styleId="af4">
    <w:name w:val="annotation reference"/>
    <w:semiHidden/>
    <w:rsid w:val="00A533D1"/>
    <w:rPr>
      <w:sz w:val="16"/>
      <w:szCs w:val="16"/>
    </w:rPr>
  </w:style>
  <w:style w:type="paragraph" w:styleId="af5">
    <w:name w:val="annotation text"/>
    <w:basedOn w:val="a0"/>
    <w:semiHidden/>
    <w:rsid w:val="00A533D1"/>
  </w:style>
  <w:style w:type="paragraph" w:styleId="af6">
    <w:name w:val="annotation subject"/>
    <w:basedOn w:val="af5"/>
    <w:next w:val="af5"/>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7"/>
    <w:link w:val="B1Char1"/>
    <w:rsid w:val="00A533D1"/>
    <w:pPr>
      <w:spacing w:after="180"/>
      <w:jc w:val="left"/>
    </w:pPr>
  </w:style>
  <w:style w:type="paragraph" w:customStyle="1" w:styleId="B2">
    <w:name w:val="B2"/>
    <w:basedOn w:val="25"/>
    <w:link w:val="B2Char"/>
    <w:rsid w:val="00A533D1"/>
    <w:pPr>
      <w:spacing w:after="180"/>
      <w:jc w:val="left"/>
    </w:p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1">
    <w:name w:val="本文 字元"/>
    <w:link w:val="ac"/>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rPr>
  </w:style>
  <w:style w:type="paragraph" w:customStyle="1" w:styleId="TF">
    <w:name w:val="TF"/>
    <w:aliases w:val="left"/>
    <w:basedOn w:val="TH"/>
    <w:link w:val="TFChar"/>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7">
    <w:name w:val="table of figures"/>
    <w:basedOn w:val="a0"/>
    <w:next w:val="a0"/>
    <w:uiPriority w:val="99"/>
    <w:rsid w:val="00A533D1"/>
    <w:pPr>
      <w:ind w:left="1418" w:hanging="1418"/>
      <w:jc w:val="left"/>
    </w:pPr>
    <w:rPr>
      <w:b/>
    </w:rPr>
  </w:style>
  <w:style w:type="paragraph" w:customStyle="1" w:styleId="TableText">
    <w:name w:val="TableText"/>
    <w:basedOn w:val="af8"/>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8">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9">
    <w:name w:val="Table Grid"/>
    <w:basedOn w:val="a2"/>
    <w:uiPriority w:val="39"/>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a">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b">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c">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e">
    <w:name w:val="頁尾 字元"/>
    <w:link w:val="ad"/>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3GPPAgreements">
    <w:name w:val="3GPP Agreements"/>
    <w:basedOn w:val="a0"/>
    <w:link w:val="3GPPAgreementsChar"/>
    <w:qFormat/>
    <w:rsid w:val="00164BD2"/>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9">
    <w:name w:val="頁首 字元"/>
    <w:link w:val="a8"/>
    <w:uiPriority w:val="99"/>
    <w:rsid w:val="005906FF"/>
    <w:rPr>
      <w:rFonts w:ascii="Arial" w:eastAsia="Times New Roman" w:hAnsi="Arial" w:cs="Arial"/>
      <w:b/>
      <w:bCs/>
      <w:noProof/>
      <w:sz w:val="18"/>
      <w:szCs w:val="18"/>
      <w:lang w:eastAsia="zh-CN"/>
    </w:rPr>
  </w:style>
  <w:style w:type="paragraph" w:styleId="aff">
    <w:name w:val="Bibliography"/>
    <w:basedOn w:val="a0"/>
    <w:next w:val="a0"/>
    <w:uiPriority w:val="37"/>
    <w:unhideWhenUsed/>
    <w:rsid w:val="00292559"/>
    <w:pPr>
      <w:overflowPunct/>
      <w:autoSpaceDE/>
      <w:autoSpaceDN/>
      <w:adjustRightInd/>
      <w:spacing w:after="160" w:line="259" w:lineRule="auto"/>
      <w:jc w:val="left"/>
      <w:textAlignment w:val="auto"/>
    </w:pPr>
    <w:rPr>
      <w:rFonts w:ascii="Calibri" w:eastAsia="SimSun" w:hAnsi="Calibri"/>
      <w:sz w:val="22"/>
      <w:szCs w:val="22"/>
      <w:lang w:val="en-US" w:eastAsia="en-US"/>
    </w:rPr>
  </w:style>
  <w:style w:type="paragraph" w:customStyle="1" w:styleId="Tdoc">
    <w:name w:val="Tdoc"/>
    <w:basedOn w:val="a0"/>
    <w:link w:val="TdocChar"/>
    <w:qFormat/>
    <w:rsid w:val="00292559"/>
    <w:pPr>
      <w:keepNext/>
      <w:keepLines/>
      <w:widowControl w:val="0"/>
      <w:numPr>
        <w:numId w:val="12"/>
      </w:numPr>
      <w:pBdr>
        <w:top w:val="single" w:sz="12" w:space="3" w:color="auto"/>
      </w:pBdr>
      <w:spacing w:before="240" w:after="180"/>
      <w:jc w:val="left"/>
      <w:outlineLvl w:val="0"/>
    </w:pPr>
    <w:rPr>
      <w:rFonts w:eastAsia="Arial"/>
      <w:noProof/>
      <w:sz w:val="32"/>
      <w:lang w:val="en-US"/>
    </w:rPr>
  </w:style>
  <w:style w:type="character" w:customStyle="1" w:styleId="TdocChar">
    <w:name w:val="Tdoc Char"/>
    <w:link w:val="Tdoc"/>
    <w:rsid w:val="00292559"/>
    <w:rPr>
      <w:rFonts w:ascii="Arial" w:eastAsia="Arial" w:hAnsi="Arial"/>
      <w:noProof/>
      <w:sz w:val="32"/>
      <w:lang w:eastAsia="zh-CN"/>
    </w:rPr>
  </w:style>
  <w:style w:type="paragraph" w:styleId="aff0">
    <w:name w:val="No Spacing"/>
    <w:uiPriority w:val="1"/>
    <w:qFormat/>
    <w:rsid w:val="00292559"/>
    <w:rPr>
      <w:rFonts w:ascii="Calibri" w:eastAsia="SimSun" w:hAnsi="Calibri"/>
      <w:sz w:val="22"/>
      <w:szCs w:val="22"/>
      <w:lang w:eastAsia="en-US"/>
    </w:rPr>
  </w:style>
  <w:style w:type="paragraph" w:styleId="53">
    <w:name w:val="List Number 5"/>
    <w:basedOn w:val="a0"/>
    <w:semiHidden/>
    <w:rsid w:val="00246DF5"/>
    <w:pPr>
      <w:tabs>
        <w:tab w:val="num" w:pos="2040"/>
      </w:tabs>
      <w:overflowPunct/>
      <w:autoSpaceDE/>
      <w:autoSpaceDN/>
      <w:adjustRightInd/>
      <w:spacing w:after="180"/>
      <w:ind w:leftChars="800" w:left="2040" w:hangingChars="200" w:hanging="360"/>
      <w:jc w:val="left"/>
      <w:textAlignment w:val="auto"/>
    </w:pPr>
    <w:rPr>
      <w:rFonts w:ascii="Calibri Light" w:eastAsia="Calibri Light" w:hAnsi="Calibri Light" w:cs="Calibri Light"/>
      <w:sz w:val="22"/>
      <w:lang w:eastAsia="en-US"/>
    </w:rPr>
  </w:style>
  <w:style w:type="character" w:customStyle="1" w:styleId="TFChar">
    <w:name w:val="TF Char"/>
    <w:link w:val="TF"/>
    <w:rsid w:val="00246DF5"/>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3482855">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134883048">
      <w:bodyDiv w:val="1"/>
      <w:marLeft w:val="0"/>
      <w:marRight w:val="0"/>
      <w:marTop w:val="0"/>
      <w:marBottom w:val="0"/>
      <w:divBdr>
        <w:top w:val="none" w:sz="0" w:space="0" w:color="auto"/>
        <w:left w:val="none" w:sz="0" w:space="0" w:color="auto"/>
        <w:bottom w:val="none" w:sz="0" w:space="0" w:color="auto"/>
        <w:right w:val="none" w:sz="0" w:space="0" w:color="auto"/>
      </w:divBdr>
    </w:div>
    <w:div w:id="159008024">
      <w:bodyDiv w:val="1"/>
      <w:marLeft w:val="0"/>
      <w:marRight w:val="0"/>
      <w:marTop w:val="0"/>
      <w:marBottom w:val="0"/>
      <w:divBdr>
        <w:top w:val="none" w:sz="0" w:space="0" w:color="auto"/>
        <w:left w:val="none" w:sz="0" w:space="0" w:color="auto"/>
        <w:bottom w:val="none" w:sz="0" w:space="0" w:color="auto"/>
        <w:right w:val="none" w:sz="0" w:space="0" w:color="auto"/>
      </w:divBdr>
    </w:div>
    <w:div w:id="188103324">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299724134">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7554198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39685552">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82828759">
      <w:bodyDiv w:val="1"/>
      <w:marLeft w:val="0"/>
      <w:marRight w:val="0"/>
      <w:marTop w:val="0"/>
      <w:marBottom w:val="0"/>
      <w:divBdr>
        <w:top w:val="none" w:sz="0" w:space="0" w:color="auto"/>
        <w:left w:val="none" w:sz="0" w:space="0" w:color="auto"/>
        <w:bottom w:val="none" w:sz="0" w:space="0" w:color="auto"/>
        <w:right w:val="none" w:sz="0" w:space="0" w:color="auto"/>
      </w:divBdr>
    </w:div>
    <w:div w:id="708071903">
      <w:bodyDiv w:val="1"/>
      <w:marLeft w:val="0"/>
      <w:marRight w:val="0"/>
      <w:marTop w:val="0"/>
      <w:marBottom w:val="0"/>
      <w:divBdr>
        <w:top w:val="none" w:sz="0" w:space="0" w:color="auto"/>
        <w:left w:val="none" w:sz="0" w:space="0" w:color="auto"/>
        <w:bottom w:val="none" w:sz="0" w:space="0" w:color="auto"/>
        <w:right w:val="none" w:sz="0" w:space="0" w:color="auto"/>
      </w:divBdr>
    </w:div>
    <w:div w:id="1202522493">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636250701">
      <w:bodyDiv w:val="1"/>
      <w:marLeft w:val="0"/>
      <w:marRight w:val="0"/>
      <w:marTop w:val="0"/>
      <w:marBottom w:val="0"/>
      <w:divBdr>
        <w:top w:val="none" w:sz="0" w:space="0" w:color="auto"/>
        <w:left w:val="none" w:sz="0" w:space="0" w:color="auto"/>
        <w:bottom w:val="none" w:sz="0" w:space="0" w:color="auto"/>
        <w:right w:val="none" w:sz="0" w:space="0" w:color="auto"/>
      </w:divBdr>
    </w:div>
    <w:div w:id="1761411076">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 w:id="2058240998">
      <w:bodyDiv w:val="1"/>
      <w:marLeft w:val="0"/>
      <w:marRight w:val="0"/>
      <w:marTop w:val="0"/>
      <w:marBottom w:val="0"/>
      <w:divBdr>
        <w:top w:val="none" w:sz="0" w:space="0" w:color="auto"/>
        <w:left w:val="none" w:sz="0" w:space="0" w:color="auto"/>
        <w:bottom w:val="none" w:sz="0" w:space="0" w:color="auto"/>
        <w:right w:val="none" w:sz="0" w:space="0" w:color="auto"/>
      </w:divBdr>
    </w:div>
    <w:div w:id="210129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
    <b:Tag>23786</b:Tag>
    <b:SourceType>ConferenceProceedings</b:SourceType>
    <b:Guid>{0C19B50A-01BF-45FE-B784-458827B420C3}</b:Guid>
    <b:Title>TR 23.786, Study on architecture enhancements for EPS and 5G System to support advanced V2X services</b:Title>
    <b:RefOrder>3</b:RefOrder>
  </b:Source>
  <b:Source>
    <b:Tag>36321</b:Tag>
    <b:SourceType>ConferenceProceedings</b:SourceType>
    <b:Guid>{B91C345C-20E8-4D0D-B45B-CF53318B10F1}</b:Guid>
    <b:Title>TS 36.321, “Evolved Universal Terrestrial Radio Access (E-UTRA); Medium Access Control (MAC) protocol specification”.</b:Title>
    <b:RefOrder>4</b:RefOrder>
  </b:Source>
  <b:Source>
    <b:Tag>RAN194</b:Tag>
    <b:SourceType>ConferenceProceedings</b:SourceType>
    <b:Guid>{E13282BA-7F3F-457C-A9C6-2B8FAF917F35}</b:Guid>
    <b:Title>RAN1#94, "Chairman Notes"</b:Title>
    <b:RefOrder>5</b:RefOrder>
  </b:Source>
</b:Sources>
</file>

<file path=customXml/itemProps1.xml><?xml version="1.0" encoding="utf-8"?>
<ds:datastoreItem xmlns:ds="http://schemas.openxmlformats.org/officeDocument/2006/customXml" ds:itemID="{A80148A5-DA9C-40C7-9D2D-6B2E0AEEF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2</Pages>
  <Words>524</Words>
  <Characters>2992</Characters>
  <Application>Microsoft Office Word</Application>
  <DocSecurity>0</DocSecurity>
  <Lines>24</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Wenfeng Zhang</dc:creator>
  <cp:lastModifiedBy>Administrator</cp:lastModifiedBy>
  <cp:revision>2</cp:revision>
  <cp:lastPrinted>2019-03-28T07:58:00Z</cp:lastPrinted>
  <dcterms:created xsi:type="dcterms:W3CDTF">2019-11-08T03:47:00Z</dcterms:created>
  <dcterms:modified xsi:type="dcterms:W3CDTF">2019-11-08T03:47:00Z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